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оценки  качества  управления бюджетным  процессом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муниципальных </w:t>
      </w:r>
      <w:proofErr w:type="gramStart"/>
      <w:r>
        <w:rPr>
          <w:b/>
          <w:sz w:val="28"/>
          <w:szCs w:val="28"/>
        </w:rPr>
        <w:t>образованиях</w:t>
      </w:r>
      <w:proofErr w:type="gramEnd"/>
      <w:r>
        <w:rPr>
          <w:b/>
          <w:sz w:val="28"/>
          <w:szCs w:val="28"/>
        </w:rPr>
        <w:t xml:space="preserve">  Грачевского района                           </w:t>
      </w: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по итогам 2012 года</w:t>
      </w:r>
    </w:p>
    <w:p w:rsidR="006F63DC" w:rsidRDefault="006F63DC" w:rsidP="006F63DC">
      <w:pPr>
        <w:jc w:val="both"/>
        <w:rPr>
          <w:b/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администрации Грачевского муниципального района  Ставропольского края от 11 ноября 2010 года  № 272  «О проведении оценки качества управления бюджетным процессом в муниципальных  образованиях Грачевского   района» финансовым управлением администрации Грачевского муниципального района проведена оценка качества управления бюджетным процессом в муниципальных образованиях  Грачевского  района по итогам 2012года.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качества по итогам 2012 года проводилась в соответствии с Методикой расчета оценки качества управления бюджетным процессом в  муниципальных  образованиях Грачевского  района, утвержденной приказом финансового управления администрации Грачевского муниципального района  от 15 марта 2011 года  № 8 «Об утверждении  Методики расчета оценки качества управления бюджетным процессом в муниципальных образованиях Грачевского  района Ставропольского края».</w:t>
      </w:r>
      <w:proofErr w:type="gramEnd"/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Исходные данные для проведения оценки качества по итогам 2012 года получены финансовым управлением на основании анализа отчетности об исполнении бюджетов муниципальных образований Грачевского   района, а также документов и материалов,  представленных органами местного самоуправления муниципальных образований  Грачевского  района.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Группа 1 «Показатели качества бюджетного планирования»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проведенной оценки качества управления бюджетным процессом по группе показателей направления «бюджетное планирование» муниципальным образованиям  Грачевского района присвоены оценки, представленные на диаграмме 1.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Как следует из представленных  на диаграмме 1 данных,  </w:t>
      </w:r>
      <w:proofErr w:type="spellStart"/>
      <w:r>
        <w:rPr>
          <w:sz w:val="28"/>
          <w:szCs w:val="28"/>
        </w:rPr>
        <w:t>Тугулукское</w:t>
      </w:r>
      <w:proofErr w:type="spellEnd"/>
      <w:r>
        <w:rPr>
          <w:sz w:val="28"/>
          <w:szCs w:val="28"/>
        </w:rPr>
        <w:t xml:space="preserve"> муниципальное образование имеет оценку 49,30 баллов, </w:t>
      </w:r>
      <w:proofErr w:type="spellStart"/>
      <w:r>
        <w:rPr>
          <w:sz w:val="28"/>
          <w:szCs w:val="28"/>
        </w:rPr>
        <w:t>Спицевское</w:t>
      </w:r>
      <w:proofErr w:type="spellEnd"/>
      <w:r>
        <w:rPr>
          <w:sz w:val="28"/>
          <w:szCs w:val="28"/>
        </w:rPr>
        <w:t xml:space="preserve"> муниципальное образование имеет оценку 39,88 балла,  </w:t>
      </w:r>
      <w:proofErr w:type="spellStart"/>
      <w:r>
        <w:rPr>
          <w:sz w:val="28"/>
          <w:szCs w:val="28"/>
        </w:rPr>
        <w:t>Кугультинское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муниципальные образования 45,65 и 46,41 баллов соответственно, </w:t>
      </w:r>
      <w:proofErr w:type="spellStart"/>
      <w:r>
        <w:rPr>
          <w:sz w:val="28"/>
          <w:szCs w:val="28"/>
        </w:rPr>
        <w:t>Старомарьевское</w:t>
      </w:r>
      <w:proofErr w:type="spellEnd"/>
      <w:r>
        <w:rPr>
          <w:sz w:val="28"/>
          <w:szCs w:val="28"/>
        </w:rPr>
        <w:t xml:space="preserve"> и Красное муниципальные образования 32,17 и 31,84 баллов соответственно, </w:t>
      </w:r>
      <w:proofErr w:type="spellStart"/>
      <w:r>
        <w:rPr>
          <w:sz w:val="28"/>
          <w:szCs w:val="28"/>
        </w:rPr>
        <w:t>Грачёвское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Бешпагирское</w:t>
      </w:r>
      <w:proofErr w:type="spellEnd"/>
      <w:r>
        <w:rPr>
          <w:sz w:val="28"/>
          <w:szCs w:val="28"/>
        </w:rPr>
        <w:t xml:space="preserve"> муниципальные образования имеют оценку по группе показателей направления «бюджетное планирование» ниже 30 баллов.</w:t>
      </w:r>
      <w:proofErr w:type="gramEnd"/>
      <w:r>
        <w:rPr>
          <w:sz w:val="28"/>
          <w:szCs w:val="28"/>
        </w:rPr>
        <w:t xml:space="preserve"> Преодолеть порог в 75  баллов не удалось ни одному из муниципальных образований.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Относительно низкие итоговые оценки по данному направлению вызваны  низкими оценками  по следующим показателям: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Показатель 1.1 «Отклонение фактических объемов поступления доходов в  бюджет муниципального образования на конец отчетного финансового года от плановых объемов доходов бюджета  согласно первоначально утвержденному  решению»- </w:t>
      </w:r>
      <w:proofErr w:type="spellStart"/>
      <w:r>
        <w:rPr>
          <w:sz w:val="28"/>
          <w:szCs w:val="28"/>
        </w:rPr>
        <w:t>Тугулукское</w:t>
      </w:r>
      <w:proofErr w:type="spellEnd"/>
      <w:r>
        <w:rPr>
          <w:sz w:val="28"/>
          <w:szCs w:val="28"/>
        </w:rPr>
        <w:t xml:space="preserve"> муниципальные образования  получило 100 баллов, </w:t>
      </w:r>
      <w:proofErr w:type="spellStart"/>
      <w:r>
        <w:rPr>
          <w:sz w:val="28"/>
          <w:szCs w:val="28"/>
        </w:rPr>
        <w:t>Кугультинское</w:t>
      </w:r>
      <w:proofErr w:type="spellEnd"/>
      <w:r w:rsidR="00F96452">
        <w:rPr>
          <w:sz w:val="28"/>
          <w:szCs w:val="28"/>
        </w:rPr>
        <w:t xml:space="preserve">, Красное и </w:t>
      </w:r>
      <w:proofErr w:type="spellStart"/>
      <w:r w:rsidR="00F96452"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муниципальн</w:t>
      </w:r>
      <w:r w:rsidR="00F9645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</w:t>
      </w:r>
      <w:r w:rsidR="00F96452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получило 50 баллов, </w:t>
      </w:r>
      <w:proofErr w:type="spellStart"/>
      <w:r>
        <w:rPr>
          <w:sz w:val="28"/>
          <w:szCs w:val="28"/>
        </w:rPr>
        <w:t>Грачевское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Старомарьевское</w:t>
      </w:r>
      <w:proofErr w:type="spellEnd"/>
      <w:r w:rsidR="00F96452">
        <w:rPr>
          <w:sz w:val="28"/>
          <w:szCs w:val="28"/>
        </w:rPr>
        <w:t xml:space="preserve">, </w:t>
      </w:r>
      <w:proofErr w:type="spellStart"/>
      <w:r w:rsidR="00F96452">
        <w:rPr>
          <w:sz w:val="28"/>
          <w:szCs w:val="28"/>
        </w:rPr>
        <w:t>Спицевское</w:t>
      </w:r>
      <w:proofErr w:type="spellEnd"/>
      <w:r w:rsidR="00F9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муниципальные образования получили по 20 баллов, </w:t>
      </w:r>
      <w:proofErr w:type="spellStart"/>
      <w:r w:rsidR="00F96452">
        <w:rPr>
          <w:sz w:val="28"/>
          <w:szCs w:val="28"/>
        </w:rPr>
        <w:t>Бешпагирское</w:t>
      </w:r>
      <w:proofErr w:type="spellEnd"/>
      <w:r w:rsidR="00F9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F96452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образовани</w:t>
      </w:r>
      <w:r w:rsidR="00F96452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получили оценку в 0 баллов из 100 возможных;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Показатель 1.3 «Количество изменений, внесенных в отчетном финансовом году в решение о бюджете»- </w:t>
      </w:r>
      <w:proofErr w:type="spellStart"/>
      <w:r w:rsidR="00F96452">
        <w:rPr>
          <w:sz w:val="28"/>
          <w:szCs w:val="28"/>
        </w:rPr>
        <w:t>Старомарьевское</w:t>
      </w:r>
      <w:proofErr w:type="spellEnd"/>
      <w:r w:rsidR="00F96452">
        <w:rPr>
          <w:sz w:val="28"/>
          <w:szCs w:val="28"/>
        </w:rPr>
        <w:t xml:space="preserve"> муниципальное образование получило оценку 100 баллов, остальные кроме </w:t>
      </w:r>
      <w:proofErr w:type="spellStart"/>
      <w:r w:rsidR="00F96452">
        <w:rPr>
          <w:sz w:val="28"/>
          <w:szCs w:val="28"/>
        </w:rPr>
        <w:t>Спицевского</w:t>
      </w:r>
      <w:proofErr w:type="spellEnd"/>
      <w:r w:rsidR="00F9645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получили оценку в 50 баллов, </w:t>
      </w:r>
      <w:proofErr w:type="spellStart"/>
      <w:r w:rsidR="00F96452">
        <w:rPr>
          <w:sz w:val="28"/>
          <w:szCs w:val="28"/>
        </w:rPr>
        <w:t>Спицевское</w:t>
      </w:r>
      <w:proofErr w:type="spellEnd"/>
      <w:r w:rsidR="00F964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96452">
        <w:rPr>
          <w:sz w:val="28"/>
          <w:szCs w:val="28"/>
        </w:rPr>
        <w:t>о</w:t>
      </w:r>
      <w:r>
        <w:rPr>
          <w:sz w:val="28"/>
          <w:szCs w:val="28"/>
        </w:rPr>
        <w:t>е образовани</w:t>
      </w:r>
      <w:r w:rsidR="00F96452">
        <w:rPr>
          <w:sz w:val="28"/>
          <w:szCs w:val="28"/>
        </w:rPr>
        <w:t>е</w:t>
      </w:r>
      <w:r>
        <w:rPr>
          <w:sz w:val="28"/>
          <w:szCs w:val="28"/>
        </w:rPr>
        <w:t xml:space="preserve"> не получили  ни одного балла из 100 возможных, так как количество  изменений внесенных  в отчетном финансовом году в решение о бюджете составляло более 4 решений;</w:t>
      </w:r>
      <w:proofErr w:type="gramEnd"/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Показатель 1.4 «Доля расходов бюджета муниципального образования, формируемых в рамках муниципальных целевых программ» - </w:t>
      </w:r>
      <w:proofErr w:type="spellStart"/>
      <w:r w:rsidR="00F96452">
        <w:rPr>
          <w:sz w:val="28"/>
          <w:szCs w:val="28"/>
        </w:rPr>
        <w:t>Грачёвское</w:t>
      </w:r>
      <w:proofErr w:type="spellEnd"/>
      <w:r w:rsidR="00F964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F96452">
        <w:rPr>
          <w:sz w:val="28"/>
          <w:szCs w:val="28"/>
        </w:rPr>
        <w:t>о</w:t>
      </w:r>
      <w:r>
        <w:rPr>
          <w:sz w:val="28"/>
          <w:szCs w:val="28"/>
        </w:rPr>
        <w:t>е образовани</w:t>
      </w:r>
      <w:r w:rsidR="00F96452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получили оценку  1</w:t>
      </w:r>
      <w:r w:rsidR="00F9645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96452">
        <w:rPr>
          <w:sz w:val="28"/>
          <w:szCs w:val="28"/>
        </w:rPr>
        <w:t>06</w:t>
      </w:r>
      <w:r>
        <w:rPr>
          <w:sz w:val="28"/>
          <w:szCs w:val="28"/>
        </w:rPr>
        <w:t xml:space="preserve"> соответственно в результате  направления средств м</w:t>
      </w:r>
      <w:r w:rsidR="00F96452">
        <w:rPr>
          <w:sz w:val="28"/>
          <w:szCs w:val="28"/>
        </w:rPr>
        <w:t>естного бюджета  на расходы</w:t>
      </w:r>
      <w:r>
        <w:rPr>
          <w:sz w:val="28"/>
          <w:szCs w:val="28"/>
        </w:rPr>
        <w:t xml:space="preserve">, формируемые в рамках муниципальных целевых программ,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целевых краевых программ, остальные муниципальные образования  получили оценку ниже 10 баллов   из 100 возможных из-за минимально направленных средств местного бюджета на формирование расходов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муниципальных целевых программ;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Показатель 1.5 «Полнота нормативного  обоснования расходных обязательств муниципального образования» - </w:t>
      </w:r>
      <w:r w:rsidR="00F96452">
        <w:rPr>
          <w:sz w:val="28"/>
          <w:szCs w:val="28"/>
        </w:rPr>
        <w:t xml:space="preserve">все </w:t>
      </w:r>
      <w:r>
        <w:rPr>
          <w:sz w:val="28"/>
          <w:szCs w:val="28"/>
        </w:rPr>
        <w:t>муниципальные образования получили оценку в 100 баллов;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Показатель 1.6 «Наличие муниципальных правовых актов, устанавливающих порядок формирования муниципального задания» и</w:t>
      </w:r>
      <w:r w:rsidR="006C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1.7 «Наличие муниципальных правовых актов, устанавливающих порядок финансового обеспечения выполнения муниципального задания»  в </w:t>
      </w:r>
      <w:proofErr w:type="spellStart"/>
      <w:r>
        <w:rPr>
          <w:sz w:val="28"/>
          <w:szCs w:val="28"/>
        </w:rPr>
        <w:t>Кугультинском</w:t>
      </w:r>
      <w:proofErr w:type="spellEnd"/>
      <w:r>
        <w:rPr>
          <w:sz w:val="28"/>
          <w:szCs w:val="28"/>
        </w:rPr>
        <w:t xml:space="preserve">, Сергиевском, </w:t>
      </w:r>
      <w:proofErr w:type="spellStart"/>
      <w:r>
        <w:rPr>
          <w:sz w:val="28"/>
          <w:szCs w:val="28"/>
        </w:rPr>
        <w:t>Спицевском</w:t>
      </w:r>
      <w:proofErr w:type="spellEnd"/>
      <w:r>
        <w:rPr>
          <w:sz w:val="28"/>
          <w:szCs w:val="28"/>
        </w:rPr>
        <w:t xml:space="preserve"> </w:t>
      </w:r>
      <w:r w:rsidR="00016584">
        <w:rPr>
          <w:sz w:val="28"/>
          <w:szCs w:val="28"/>
        </w:rPr>
        <w:t xml:space="preserve">и </w:t>
      </w:r>
      <w:proofErr w:type="spellStart"/>
      <w:r w:rsidR="00016584">
        <w:rPr>
          <w:sz w:val="28"/>
          <w:szCs w:val="28"/>
        </w:rPr>
        <w:t>Тугулукском</w:t>
      </w:r>
      <w:proofErr w:type="spellEnd"/>
      <w:r w:rsidR="000165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 приняты правовые акты по показателям 1.6 и 1.7 и получено по 100 баллов за каждый показатель,</w:t>
      </w:r>
      <w:r w:rsidR="00016584">
        <w:rPr>
          <w:sz w:val="28"/>
          <w:szCs w:val="28"/>
        </w:rPr>
        <w:t xml:space="preserve"> Красным муниципальным образование по показателям 1.7 получено 100 баллов, </w:t>
      </w:r>
      <w:proofErr w:type="spellStart"/>
      <w:r w:rsidR="00016584">
        <w:rPr>
          <w:sz w:val="28"/>
          <w:szCs w:val="28"/>
        </w:rPr>
        <w:t>Старомарьевским</w:t>
      </w:r>
      <w:proofErr w:type="spellEnd"/>
      <w:r w:rsidR="00016584">
        <w:rPr>
          <w:sz w:val="28"/>
          <w:szCs w:val="28"/>
        </w:rPr>
        <w:t xml:space="preserve"> муниципальным</w:t>
      </w:r>
      <w:proofErr w:type="gramEnd"/>
      <w:r w:rsidR="00016584">
        <w:rPr>
          <w:sz w:val="28"/>
          <w:szCs w:val="28"/>
        </w:rPr>
        <w:t xml:space="preserve"> образованием по показателям 1.6 получено 100 баллов, </w:t>
      </w:r>
      <w:r>
        <w:rPr>
          <w:sz w:val="28"/>
          <w:szCs w:val="28"/>
        </w:rPr>
        <w:t>остальные муниципальные образования не подтвердили наличие муниципального задания, в результате по этим двум показателям   получили оценку  по 0 баллов  из 100 возможных;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Группа 2 «Показатели исполнения бюджета»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группе показателей направления «исполнение бюджета муниципального образования» муниципальным образованиям присвоены оценки, представленные на диаграмме 2.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следует из представленных на диаграмме 2 данных,  все муниципальные образования получили оценку выше 50 баллов. </w:t>
      </w:r>
      <w:proofErr w:type="spellStart"/>
      <w:r w:rsidR="00016584">
        <w:rPr>
          <w:sz w:val="28"/>
          <w:szCs w:val="28"/>
        </w:rPr>
        <w:t>Тугулукское</w:t>
      </w:r>
      <w:proofErr w:type="spellEnd"/>
      <w:r w:rsidR="0001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муниципальное образование получило </w:t>
      </w:r>
      <w:r w:rsidR="00016584">
        <w:rPr>
          <w:sz w:val="28"/>
          <w:szCs w:val="28"/>
        </w:rPr>
        <w:t>100</w:t>
      </w:r>
      <w:r>
        <w:rPr>
          <w:sz w:val="28"/>
          <w:szCs w:val="28"/>
        </w:rPr>
        <w:t xml:space="preserve"> баллов, </w:t>
      </w:r>
      <w:r w:rsidR="00016584">
        <w:rPr>
          <w:sz w:val="28"/>
          <w:szCs w:val="28"/>
        </w:rPr>
        <w:t xml:space="preserve">остальные муниципальные образования </w:t>
      </w:r>
      <w:r>
        <w:rPr>
          <w:sz w:val="28"/>
          <w:szCs w:val="28"/>
        </w:rPr>
        <w:t>по 75 баллов из 100 возможных.</w:t>
      </w:r>
    </w:p>
    <w:p w:rsidR="00016584" w:rsidRDefault="00016584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Группа 3 «Показатели качества управления муниципальным долгом»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группе показателей направления «управление муниципальным долгом» муниципальным образованиям присвоены оценки, представленные на диаграмме 3.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следует из представленных на диаграмме 3 данных, все муниципальные образования имеют оценку по группе показателей направления «управление муниципальным долгом» 100 баллов из 100 возможных.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Группа 4 «Показатели качества управления бюджетным процессом в сфере оказания муниципальных услуг»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группе показателей направления «оказание муниципальных услуг» муниципальным образованиям присвоены оценки, представленные на диаграмме 4. </w:t>
      </w:r>
    </w:p>
    <w:p w:rsidR="006F63DC" w:rsidRDefault="006F63DC" w:rsidP="006F6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муниципальные образования (кроме Грачевского МО имеют оценку 36 баллов из 100 возможных.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Грачевское</w:t>
      </w:r>
      <w:proofErr w:type="spellEnd"/>
      <w:r>
        <w:rPr>
          <w:sz w:val="28"/>
          <w:szCs w:val="28"/>
        </w:rPr>
        <w:t xml:space="preserve">   муниципальное образование имеет оценку 0 баллов.</w:t>
      </w:r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3DC">
        <w:rPr>
          <w:sz w:val="28"/>
          <w:szCs w:val="28"/>
        </w:rPr>
        <w:t>Такие низкие итоговые оценки по данному направлению вызваны  нулевыми оценками по всей группе показателей:</w:t>
      </w:r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3DC">
        <w:rPr>
          <w:sz w:val="28"/>
          <w:szCs w:val="28"/>
        </w:rPr>
        <w:t>4.1 «Доля расходов бюджета  муниципального образования на предоставление муниципальных услуг, оказываемых в соответствии с муниципальным заданием» все муниципальные образования получили оценку  0 баллов из 100 возможных;</w:t>
      </w:r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F63DC">
        <w:rPr>
          <w:sz w:val="28"/>
          <w:szCs w:val="28"/>
        </w:rPr>
        <w:t>4.2 «Доля расходов бюджета муниципального образования  на финансирование  услуг социальной сферы, оказываемых автономными  муниципальными  учреждениями и иными некоммерческими организациями, не являющимися бюджетными и автономными учреждениями, в общем объеме расходов бюджета муниципального образования на финансирование отраслей социальной сферы (образование, здравоохранение, физическая культура и спорт, социальная политика)»  все муниципальные образования получили оценку 0 баллов из 100 возможных.</w:t>
      </w:r>
      <w:proofErr w:type="gramEnd"/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63DC">
        <w:rPr>
          <w:sz w:val="28"/>
          <w:szCs w:val="28"/>
        </w:rPr>
        <w:t>4.3 «Наличие утвержденного муниципальным правовым актом перечня (реестра) муниципальных услуг» все муниципальные образования</w:t>
      </w:r>
      <w:r w:rsidR="00016584">
        <w:rPr>
          <w:sz w:val="28"/>
          <w:szCs w:val="28"/>
        </w:rPr>
        <w:t xml:space="preserve"> к</w:t>
      </w:r>
      <w:r w:rsidR="006F63DC">
        <w:rPr>
          <w:sz w:val="28"/>
          <w:szCs w:val="28"/>
        </w:rPr>
        <w:t>роме Грачевского МО) имеют по этому показателю по 100 баллов из 100 возможных.</w:t>
      </w:r>
      <w:proofErr w:type="gramEnd"/>
      <w:r w:rsidR="006F63DC">
        <w:rPr>
          <w:sz w:val="28"/>
          <w:szCs w:val="28"/>
        </w:rPr>
        <w:t xml:space="preserve">  В Грачевском муниципальном образовании перечень муниципальных услуг не разработан, в связи с отсутствием в муниципальном образовании отрасли «Культура».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63DC" w:rsidRDefault="006F63DC" w:rsidP="006F6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Группа 5 «Показатели, характеризующие степень прозрачности бюджетного процесса» </w:t>
      </w:r>
    </w:p>
    <w:p w:rsidR="006C2FC7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группе показателей направления «прозрачность бюджетного процесса» муниципальным образованиям присвоены оценки, представленные на диаграмме 5.  </w:t>
      </w:r>
      <w:proofErr w:type="spellStart"/>
      <w:r>
        <w:rPr>
          <w:sz w:val="28"/>
          <w:szCs w:val="28"/>
        </w:rPr>
        <w:t>Грачевское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Кугультинское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Спицевское</w:t>
      </w:r>
      <w:proofErr w:type="spellEnd"/>
      <w:r w:rsidR="00016584">
        <w:rPr>
          <w:sz w:val="28"/>
          <w:szCs w:val="28"/>
        </w:rPr>
        <w:t xml:space="preserve">, </w:t>
      </w:r>
      <w:proofErr w:type="spellStart"/>
      <w:r w:rsidR="00016584">
        <w:rPr>
          <w:sz w:val="28"/>
          <w:szCs w:val="28"/>
        </w:rPr>
        <w:t>Сергиевское</w:t>
      </w:r>
      <w:proofErr w:type="spellEnd"/>
      <w:r w:rsidR="00016584">
        <w:rPr>
          <w:sz w:val="28"/>
          <w:szCs w:val="28"/>
        </w:rPr>
        <w:t xml:space="preserve">, </w:t>
      </w:r>
      <w:proofErr w:type="spellStart"/>
      <w:r w:rsidR="00016584">
        <w:rPr>
          <w:sz w:val="28"/>
          <w:szCs w:val="28"/>
        </w:rPr>
        <w:t>Старомарьевское</w:t>
      </w:r>
      <w:proofErr w:type="spellEnd"/>
      <w:r>
        <w:rPr>
          <w:sz w:val="28"/>
          <w:szCs w:val="28"/>
        </w:rPr>
        <w:t xml:space="preserve"> муниципальные образования имеет оценку 100 баллов, остальные  муниципальные образования имеют оценку  82 баллов из 100 возможных.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2FC7">
        <w:rPr>
          <w:sz w:val="28"/>
          <w:szCs w:val="28"/>
        </w:rPr>
        <w:t xml:space="preserve">                                                 </w:t>
      </w:r>
    </w:p>
    <w:p w:rsidR="006F63DC" w:rsidRDefault="006C2FC7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F63DC">
        <w:rPr>
          <w:sz w:val="28"/>
          <w:szCs w:val="28"/>
        </w:rPr>
        <w:t xml:space="preserve">Муниципальным образованиям  рекомендуется обратить внимание в первую очередь  на выполнение условий назначения оценки по </w:t>
      </w:r>
      <w:proofErr w:type="gramStart"/>
      <w:r w:rsidR="006F63DC">
        <w:rPr>
          <w:sz w:val="28"/>
          <w:szCs w:val="28"/>
        </w:rPr>
        <w:t>показателям</w:t>
      </w:r>
      <w:proofErr w:type="gramEnd"/>
      <w:r w:rsidR="006F63DC">
        <w:rPr>
          <w:sz w:val="28"/>
          <w:szCs w:val="28"/>
        </w:rPr>
        <w:t xml:space="preserve"> получившим по 0 баллов это: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 «Ежемесячное опубликование  (размещение на официальном сайте администрации муниципального образования) отчетов об исполнении бюджета муниципального образования».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муниципальным образованиям  Грачевского  района присвоены итоговые оценки качества управления бюджетным процессом, представленным на диаграмме 6.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3DC">
        <w:rPr>
          <w:sz w:val="28"/>
          <w:szCs w:val="28"/>
        </w:rPr>
        <w:t xml:space="preserve"> </w:t>
      </w:r>
      <w:r w:rsidR="006F63DC">
        <w:rPr>
          <w:sz w:val="28"/>
          <w:szCs w:val="28"/>
          <w:lang w:val="en-US"/>
        </w:rPr>
        <w:t>II</w:t>
      </w:r>
      <w:r w:rsidR="006F63DC">
        <w:rPr>
          <w:sz w:val="28"/>
          <w:szCs w:val="28"/>
        </w:rPr>
        <w:t xml:space="preserve"> – степень качества управления бюджетным </w:t>
      </w:r>
      <w:proofErr w:type="gramStart"/>
      <w:r w:rsidR="006F63DC">
        <w:rPr>
          <w:sz w:val="28"/>
          <w:szCs w:val="28"/>
        </w:rPr>
        <w:t>процессом  отражает</w:t>
      </w:r>
      <w:proofErr w:type="gramEnd"/>
      <w:r w:rsidR="006F63DC">
        <w:rPr>
          <w:sz w:val="28"/>
          <w:szCs w:val="28"/>
        </w:rPr>
        <w:t xml:space="preserve"> средний уровень качества управления бюджетным процессом и присваивается муниципальным образованиям, значение оценки качества  управления бюджетным процессом в которых составило от 50 баллов до 75 баллов включительно. </w:t>
      </w:r>
      <w:proofErr w:type="spellStart"/>
      <w:r w:rsidR="006F63DC">
        <w:rPr>
          <w:sz w:val="28"/>
          <w:szCs w:val="28"/>
        </w:rPr>
        <w:t>Спицевскому</w:t>
      </w:r>
      <w:proofErr w:type="spellEnd"/>
      <w:r w:rsidR="006F63DC">
        <w:rPr>
          <w:sz w:val="28"/>
          <w:szCs w:val="28"/>
        </w:rPr>
        <w:t>, Сергиевскому</w:t>
      </w:r>
      <w:r>
        <w:rPr>
          <w:sz w:val="28"/>
          <w:szCs w:val="28"/>
        </w:rPr>
        <w:t>,</w:t>
      </w:r>
      <w:r w:rsidR="006F63DC">
        <w:rPr>
          <w:sz w:val="28"/>
          <w:szCs w:val="28"/>
        </w:rPr>
        <w:t xml:space="preserve"> </w:t>
      </w:r>
      <w:proofErr w:type="spellStart"/>
      <w:r w:rsidR="006F63DC">
        <w:rPr>
          <w:sz w:val="28"/>
          <w:szCs w:val="28"/>
        </w:rPr>
        <w:t>Кугультинскому</w:t>
      </w:r>
      <w:proofErr w:type="spellEnd"/>
      <w:r>
        <w:rPr>
          <w:sz w:val="28"/>
          <w:szCs w:val="28"/>
        </w:rPr>
        <w:t xml:space="preserve">, Красному, </w:t>
      </w:r>
      <w:proofErr w:type="spellStart"/>
      <w:r>
        <w:rPr>
          <w:sz w:val="28"/>
          <w:szCs w:val="28"/>
        </w:rPr>
        <w:t>Старамарьевскому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Тугулукскому</w:t>
      </w:r>
      <w:proofErr w:type="spellEnd"/>
      <w:r w:rsidR="006F63DC">
        <w:rPr>
          <w:sz w:val="28"/>
          <w:szCs w:val="28"/>
        </w:rPr>
        <w:t xml:space="preserve"> и </w:t>
      </w:r>
      <w:proofErr w:type="spellStart"/>
      <w:r w:rsidR="006F63DC">
        <w:rPr>
          <w:sz w:val="28"/>
          <w:szCs w:val="28"/>
        </w:rPr>
        <w:t>Бешпагирскому</w:t>
      </w:r>
      <w:proofErr w:type="spellEnd"/>
      <w:r w:rsidR="006F63DC">
        <w:rPr>
          <w:sz w:val="28"/>
          <w:szCs w:val="28"/>
        </w:rPr>
        <w:t xml:space="preserve"> муниципальным  образованиям, в которых значение оценки качества выше 50 баллов присваивается </w:t>
      </w:r>
      <w:r w:rsidR="006F63DC">
        <w:rPr>
          <w:sz w:val="28"/>
          <w:szCs w:val="28"/>
          <w:lang w:val="en-US"/>
        </w:rPr>
        <w:t>II</w:t>
      </w:r>
      <w:r w:rsidR="006F63DC">
        <w:rPr>
          <w:sz w:val="28"/>
          <w:szCs w:val="28"/>
        </w:rPr>
        <w:t xml:space="preserve"> степень качества управления бюджетным процессом. 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63DC">
        <w:rPr>
          <w:sz w:val="28"/>
          <w:szCs w:val="28"/>
          <w:lang w:val="en-US"/>
        </w:rPr>
        <w:t>III</w:t>
      </w:r>
      <w:r w:rsidR="006F63DC">
        <w:rPr>
          <w:sz w:val="28"/>
          <w:szCs w:val="28"/>
        </w:rPr>
        <w:t>- степень качества управления бюджетным процессом отражает низкий уровень качества управления бюджетным процессом и присваивается муниципальным образованиям, значение оценки качества управления бюджетным процессом в которых составило менее 50 баллов.</w:t>
      </w:r>
      <w:proofErr w:type="gramEnd"/>
      <w:r w:rsidR="006F63DC">
        <w:rPr>
          <w:sz w:val="28"/>
          <w:szCs w:val="28"/>
        </w:rPr>
        <w:t xml:space="preserve">  </w:t>
      </w: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FC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Грачевскому</w:t>
      </w:r>
      <w:proofErr w:type="spellEnd"/>
      <w:r>
        <w:rPr>
          <w:sz w:val="28"/>
          <w:szCs w:val="28"/>
        </w:rPr>
        <w:t xml:space="preserve"> муниципальн</w:t>
      </w:r>
      <w:r w:rsidR="00616A1A">
        <w:rPr>
          <w:sz w:val="28"/>
          <w:szCs w:val="28"/>
        </w:rPr>
        <w:t>ому</w:t>
      </w:r>
      <w:r>
        <w:rPr>
          <w:sz w:val="28"/>
          <w:szCs w:val="28"/>
        </w:rPr>
        <w:t xml:space="preserve"> образовани</w:t>
      </w:r>
      <w:r w:rsidR="00616A1A">
        <w:rPr>
          <w:sz w:val="28"/>
          <w:szCs w:val="28"/>
        </w:rPr>
        <w:t>ю</w:t>
      </w:r>
      <w:r>
        <w:rPr>
          <w:sz w:val="28"/>
          <w:szCs w:val="28"/>
        </w:rPr>
        <w:t xml:space="preserve">, значение оценки качества управления бюджетным процессом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составило менее 50 баллов присваивается  </w:t>
      </w:r>
      <w:r>
        <w:rPr>
          <w:sz w:val="28"/>
          <w:szCs w:val="28"/>
          <w:lang w:val="en-US"/>
        </w:rPr>
        <w:t>III</w:t>
      </w:r>
      <w:r w:rsidRPr="006F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степень качества управления бюджетным процессом.   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Pr="00616A1A" w:rsidRDefault="00616A1A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3DC" w:rsidRPr="00616A1A">
        <w:rPr>
          <w:sz w:val="28"/>
          <w:szCs w:val="28"/>
        </w:rPr>
        <w:t xml:space="preserve">Всем муниципальным образованиям необходимо принять программу повышения качества организации и осуществления бюджетного процесса.    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</w:p>
    <w:p w:rsidR="006F63DC" w:rsidRDefault="006F63DC" w:rsidP="006F63DC">
      <w:pPr>
        <w:jc w:val="both"/>
        <w:rPr>
          <w:sz w:val="28"/>
          <w:szCs w:val="28"/>
        </w:rPr>
      </w:pPr>
    </w:p>
    <w:p w:rsidR="001D39F8" w:rsidRDefault="001D39F8"/>
    <w:sectPr w:rsidR="001D39F8" w:rsidSect="00053EE5">
      <w:pgSz w:w="11905" w:h="16838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F63DC"/>
    <w:rsid w:val="00016584"/>
    <w:rsid w:val="00053EE5"/>
    <w:rsid w:val="001D39F8"/>
    <w:rsid w:val="00384EF2"/>
    <w:rsid w:val="00616A1A"/>
    <w:rsid w:val="006C2FC7"/>
    <w:rsid w:val="006F63DC"/>
    <w:rsid w:val="00713563"/>
    <w:rsid w:val="008C0C15"/>
    <w:rsid w:val="008C12CF"/>
    <w:rsid w:val="008F3E86"/>
    <w:rsid w:val="00AD5D6D"/>
    <w:rsid w:val="00B97983"/>
    <w:rsid w:val="00BB0F52"/>
    <w:rsid w:val="00D11551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4</cp:revision>
  <cp:lastPrinted>2013-05-23T11:03:00Z</cp:lastPrinted>
  <dcterms:created xsi:type="dcterms:W3CDTF">2013-05-23T10:26:00Z</dcterms:created>
  <dcterms:modified xsi:type="dcterms:W3CDTF">2013-05-23T12:29:00Z</dcterms:modified>
</cp:coreProperties>
</file>